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459D" w14:textId="77777777" w:rsidR="00A70265" w:rsidRPr="00A70265" w:rsidRDefault="00A70265" w:rsidP="00A70265">
      <w:pPr>
        <w:spacing w:after="0"/>
        <w:ind w:firstLine="709"/>
        <w:jc w:val="both"/>
        <w:rPr>
          <w:b/>
          <w:bCs/>
        </w:rPr>
      </w:pPr>
      <w:r w:rsidRPr="00A70265">
        <w:rPr>
          <w:b/>
          <w:bCs/>
        </w:rPr>
        <w:t>ЮРИДИЧЕСКОЕ ЗАКЛЮЧЕНИЕ: АУДИТ ДОГОВОРА И РИСКИ ОРГАНИЗАТОРА</w:t>
      </w:r>
    </w:p>
    <w:p w14:paraId="31657792" w14:textId="77777777" w:rsidR="00A70265" w:rsidRPr="00A70265" w:rsidRDefault="00A70265" w:rsidP="00A70265">
      <w:pPr>
        <w:spacing w:after="0"/>
        <w:ind w:firstLine="709"/>
        <w:jc w:val="both"/>
        <w:rPr>
          <w:b/>
          <w:bCs/>
        </w:rPr>
      </w:pPr>
      <w:r w:rsidRPr="00A70265">
        <w:rPr>
          <w:b/>
          <w:bCs/>
        </w:rPr>
        <w:t>1. Риск признания договора незаключенным (Момент акцепта)</w:t>
      </w:r>
    </w:p>
    <w:p w14:paraId="64674462" w14:textId="6F05D297" w:rsidR="00A70265" w:rsidRPr="00A70265" w:rsidRDefault="00A70265" w:rsidP="00A70265">
      <w:pPr>
        <w:tabs>
          <w:tab w:val="num" w:pos="720"/>
        </w:tabs>
        <w:spacing w:after="0"/>
        <w:ind w:firstLine="709"/>
        <w:jc w:val="both"/>
      </w:pPr>
      <w:r w:rsidRPr="00A70265">
        <w:t>Согласно п. 2.3 договора, акцептом оферты считается выступление Спикера на Мероприятии.</w:t>
      </w:r>
      <w:r>
        <w:t xml:space="preserve"> Однако в</w:t>
      </w:r>
      <w:r w:rsidRPr="00A70265">
        <w:t>заимоотношения сторон начинаются задолго до даты выступления (подготовка материалов, оплата 120 000 руб.). Если Спикер откажется выступать или не явится на мероприятие, формально договор считается незаключенным, так как акцепт не состоялся.</w:t>
      </w:r>
      <w:r>
        <w:t xml:space="preserve"> </w:t>
      </w:r>
      <w:r w:rsidRPr="00A70265">
        <w:t>Организатору будет крайне сложно привлечь Спикера к ответственности или удержать оплаченные денежные средства, так как правовые основания (договор) юридически не возникли до момента самого выступления.</w:t>
      </w:r>
      <w:r>
        <w:t xml:space="preserve"> В этом случае оплаченные средства могут быть взысканы как неосновательное обогащение. </w:t>
      </w:r>
    </w:p>
    <w:p w14:paraId="5C82BE45" w14:textId="77777777" w:rsidR="00A70265" w:rsidRPr="00A70265" w:rsidRDefault="00A70265" w:rsidP="00A70265">
      <w:pPr>
        <w:spacing w:after="0"/>
        <w:ind w:firstLine="709"/>
        <w:jc w:val="both"/>
        <w:rPr>
          <w:b/>
          <w:bCs/>
        </w:rPr>
      </w:pPr>
      <w:r w:rsidRPr="00A70265">
        <w:rPr>
          <w:b/>
          <w:bCs/>
        </w:rPr>
        <w:t>2. Финансовые риски и возврат средств</w:t>
      </w:r>
    </w:p>
    <w:p w14:paraId="1ECA32DD" w14:textId="77777777" w:rsidR="00A70265" w:rsidRPr="00A70265" w:rsidRDefault="00A70265" w:rsidP="00A70265">
      <w:pPr>
        <w:spacing w:after="0"/>
        <w:ind w:firstLine="709"/>
        <w:jc w:val="both"/>
      </w:pPr>
      <w:r w:rsidRPr="00A70265">
        <w:t xml:space="preserve">Договор предусматривает обязанность Спикера оплатить 120 000 </w:t>
      </w:r>
      <w:proofErr w:type="gramStart"/>
      <w:r w:rsidRPr="00A70265">
        <w:t>руб..</w:t>
      </w:r>
      <w:proofErr w:type="gramEnd"/>
      <w:r w:rsidRPr="00A70265">
        <w:t xml:space="preserve"> Однако в документе полностью отсутствуют условия о:</w:t>
      </w:r>
    </w:p>
    <w:p w14:paraId="4E0DFAF0" w14:textId="77777777" w:rsidR="00A70265" w:rsidRPr="00A70265" w:rsidRDefault="00A70265" w:rsidP="00A70265">
      <w:pPr>
        <w:numPr>
          <w:ilvl w:val="0"/>
          <w:numId w:val="2"/>
        </w:numPr>
        <w:spacing w:after="0"/>
        <w:ind w:left="0" w:firstLine="709"/>
        <w:jc w:val="both"/>
      </w:pPr>
      <w:r w:rsidRPr="00A70265">
        <w:t>Сроках оплаты.</w:t>
      </w:r>
    </w:p>
    <w:p w14:paraId="09609AF0" w14:textId="77777777" w:rsidR="00A70265" w:rsidRPr="00A70265" w:rsidRDefault="00A70265" w:rsidP="00A70265">
      <w:pPr>
        <w:numPr>
          <w:ilvl w:val="0"/>
          <w:numId w:val="2"/>
        </w:numPr>
        <w:spacing w:after="0"/>
        <w:ind w:left="0" w:firstLine="709"/>
        <w:jc w:val="both"/>
      </w:pPr>
      <w:r w:rsidRPr="00A70265">
        <w:t>Порядке и условиях возврата (или невозврата) оплаты в случае отказа Спикера от участия.</w:t>
      </w:r>
    </w:p>
    <w:p w14:paraId="5A24A32E" w14:textId="48DFF349" w:rsidR="00A70265" w:rsidRPr="00A70265" w:rsidRDefault="00A70265" w:rsidP="00A70265">
      <w:pPr>
        <w:spacing w:after="0"/>
        <w:ind w:firstLine="709"/>
        <w:jc w:val="both"/>
      </w:pPr>
      <w:r w:rsidRPr="00A70265">
        <w:t>При отсутствии штрафных санкций за отказ от договора Спикер может в любое время потребовать возврата всей суммы на основании ст. 782 ГК РФ (односторонний отказ), возместив Организатору только фактически понесенные расходы, которые Организатору придется доказывать документально.</w:t>
      </w:r>
    </w:p>
    <w:p w14:paraId="53010CD6" w14:textId="77777777" w:rsidR="00A70265" w:rsidRPr="00A70265" w:rsidRDefault="00A70265" w:rsidP="00A70265">
      <w:pPr>
        <w:spacing w:after="0"/>
        <w:ind w:firstLine="709"/>
        <w:jc w:val="both"/>
        <w:rPr>
          <w:b/>
          <w:bCs/>
        </w:rPr>
      </w:pPr>
      <w:r w:rsidRPr="00A70265">
        <w:rPr>
          <w:b/>
          <w:bCs/>
        </w:rPr>
        <w:t>3. Отсутствие ответственности Спикера за неявку</w:t>
      </w:r>
    </w:p>
    <w:p w14:paraId="6A565C8F" w14:textId="77777777" w:rsidR="00A70265" w:rsidRPr="00A70265" w:rsidRDefault="00A70265" w:rsidP="00A70265">
      <w:pPr>
        <w:spacing w:after="0"/>
        <w:ind w:firstLine="709"/>
        <w:jc w:val="both"/>
      </w:pPr>
      <w:r w:rsidRPr="00A70265">
        <w:t>В разделе 6 «Ответственность сторон» содержатся лишь общие формулировки о соответствии законодательству РФ.</w:t>
      </w:r>
    </w:p>
    <w:p w14:paraId="0E29CC98" w14:textId="58D1E73E" w:rsidR="00A70265" w:rsidRPr="00A70265" w:rsidRDefault="00A70265" w:rsidP="00A70265">
      <w:pPr>
        <w:spacing w:after="0"/>
        <w:ind w:firstLine="567"/>
        <w:jc w:val="both"/>
      </w:pPr>
      <w:r w:rsidRPr="00A70265">
        <w:t>Если Спикер сорвет выступление на главной сцене Сколково, Организатор понесет репутационные убытки и претензии от других участников. Без указания конкретных штрафов в договоре взыскать реальный ущерб через суд будет крайне трудозатратно.</w:t>
      </w:r>
    </w:p>
    <w:p w14:paraId="73C02A18" w14:textId="77777777" w:rsidR="00A70265" w:rsidRPr="00A70265" w:rsidRDefault="00A70265" w:rsidP="00A70265">
      <w:pPr>
        <w:spacing w:after="0"/>
        <w:ind w:firstLine="709"/>
        <w:jc w:val="both"/>
        <w:rPr>
          <w:b/>
          <w:bCs/>
        </w:rPr>
      </w:pPr>
      <w:r w:rsidRPr="00A70265">
        <w:rPr>
          <w:b/>
          <w:bCs/>
        </w:rPr>
        <w:t>5. Риск несоответствия ссылок и площадок</w:t>
      </w:r>
    </w:p>
    <w:p w14:paraId="2E1BD886" w14:textId="77777777" w:rsidR="00A70265" w:rsidRPr="00A70265" w:rsidRDefault="00A70265" w:rsidP="00A70265">
      <w:pPr>
        <w:spacing w:after="0"/>
        <w:ind w:firstLine="709"/>
        <w:jc w:val="both"/>
      </w:pPr>
      <w:r w:rsidRPr="00A70265">
        <w:t xml:space="preserve">В тексте указаны разные ссылки на площадки Организатора: в п. 1.3 указан </w:t>
      </w:r>
      <w:proofErr w:type="spellStart"/>
      <w:r w:rsidRPr="00A70265">
        <w:t>Telegram</w:t>
      </w:r>
      <w:proofErr w:type="spellEnd"/>
      <w:r w:rsidRPr="00A70265">
        <w:t>-бот, а в п. 8.2 — сторонний сайт lineslegends.ru/</w:t>
      </w:r>
      <w:proofErr w:type="spellStart"/>
      <w:r w:rsidRPr="00A70265">
        <w:t>world_expert_innovation</w:t>
      </w:r>
      <w:proofErr w:type="spellEnd"/>
      <w:r w:rsidRPr="00A70265">
        <w:t>.</w:t>
      </w:r>
    </w:p>
    <w:p w14:paraId="7D4E659E" w14:textId="17D2F0D4" w:rsidR="00A70265" w:rsidRPr="00A70265" w:rsidRDefault="00A70265" w:rsidP="00A70265">
      <w:pPr>
        <w:spacing w:after="0"/>
        <w:ind w:firstLine="567"/>
        <w:jc w:val="both"/>
      </w:pPr>
      <w:r w:rsidRPr="00A70265">
        <w:t>Если условия оферты в боте и по ссылке будут отличаться, или одна из ссылок перестанет работать, это может быть истолковано судом в пользу Спикера как введение в заблуждение или ненадлежащее информирование об условиях договора.</w:t>
      </w:r>
    </w:p>
    <w:p w14:paraId="65E56B6A" w14:textId="77777777" w:rsidR="00F12C76" w:rsidRDefault="00F12C76" w:rsidP="00A70265">
      <w:pPr>
        <w:spacing w:after="0"/>
        <w:ind w:firstLine="567"/>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9B6"/>
    <w:multiLevelType w:val="multilevel"/>
    <w:tmpl w:val="470C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370B6"/>
    <w:multiLevelType w:val="multilevel"/>
    <w:tmpl w:val="A06E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4605F"/>
    <w:multiLevelType w:val="multilevel"/>
    <w:tmpl w:val="BF08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26D4F"/>
    <w:multiLevelType w:val="multilevel"/>
    <w:tmpl w:val="9F12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F0C07"/>
    <w:multiLevelType w:val="multilevel"/>
    <w:tmpl w:val="3C0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75399"/>
    <w:multiLevelType w:val="multilevel"/>
    <w:tmpl w:val="C336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F170E"/>
    <w:multiLevelType w:val="multilevel"/>
    <w:tmpl w:val="4330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305770">
    <w:abstractNumId w:val="3"/>
  </w:num>
  <w:num w:numId="2" w16cid:durableId="228661673">
    <w:abstractNumId w:val="1"/>
  </w:num>
  <w:num w:numId="3" w16cid:durableId="1121532067">
    <w:abstractNumId w:val="2"/>
  </w:num>
  <w:num w:numId="4" w16cid:durableId="852649949">
    <w:abstractNumId w:val="0"/>
  </w:num>
  <w:num w:numId="5" w16cid:durableId="1920092045">
    <w:abstractNumId w:val="6"/>
  </w:num>
  <w:num w:numId="6" w16cid:durableId="1523863094">
    <w:abstractNumId w:val="5"/>
  </w:num>
  <w:num w:numId="7" w16cid:durableId="624582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74"/>
    <w:rsid w:val="003C4576"/>
    <w:rsid w:val="00567074"/>
    <w:rsid w:val="006C0B77"/>
    <w:rsid w:val="008242FF"/>
    <w:rsid w:val="00870751"/>
    <w:rsid w:val="008A0AD8"/>
    <w:rsid w:val="00922C48"/>
    <w:rsid w:val="00A70265"/>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2464"/>
  <w15:chartTrackingRefBased/>
  <w15:docId w15:val="{788F8ABF-20C7-4E71-827A-83997AD4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670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670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707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6707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6707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670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6707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6707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6707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707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6707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707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707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6707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6707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6707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6707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67074"/>
    <w:rPr>
      <w:rFonts w:eastAsiaTheme="majorEastAsia" w:cstheme="majorBidi"/>
      <w:color w:val="272727" w:themeColor="text1" w:themeTint="D8"/>
      <w:sz w:val="28"/>
    </w:rPr>
  </w:style>
  <w:style w:type="paragraph" w:styleId="a3">
    <w:name w:val="Title"/>
    <w:basedOn w:val="a"/>
    <w:next w:val="a"/>
    <w:link w:val="a4"/>
    <w:uiPriority w:val="10"/>
    <w:qFormat/>
    <w:rsid w:val="0056707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7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07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670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7074"/>
    <w:pPr>
      <w:spacing w:before="160"/>
      <w:jc w:val="center"/>
    </w:pPr>
    <w:rPr>
      <w:i/>
      <w:iCs/>
      <w:color w:val="404040" w:themeColor="text1" w:themeTint="BF"/>
    </w:rPr>
  </w:style>
  <w:style w:type="character" w:customStyle="1" w:styleId="22">
    <w:name w:val="Цитата 2 Знак"/>
    <w:basedOn w:val="a0"/>
    <w:link w:val="21"/>
    <w:uiPriority w:val="29"/>
    <w:rsid w:val="00567074"/>
    <w:rPr>
      <w:rFonts w:ascii="Times New Roman" w:hAnsi="Times New Roman"/>
      <w:i/>
      <w:iCs/>
      <w:color w:val="404040" w:themeColor="text1" w:themeTint="BF"/>
      <w:sz w:val="28"/>
    </w:rPr>
  </w:style>
  <w:style w:type="paragraph" w:styleId="a7">
    <w:name w:val="List Paragraph"/>
    <w:basedOn w:val="a"/>
    <w:uiPriority w:val="34"/>
    <w:qFormat/>
    <w:rsid w:val="00567074"/>
    <w:pPr>
      <w:ind w:left="720"/>
      <w:contextualSpacing/>
    </w:pPr>
  </w:style>
  <w:style w:type="character" w:styleId="a8">
    <w:name w:val="Intense Emphasis"/>
    <w:basedOn w:val="a0"/>
    <w:uiPriority w:val="21"/>
    <w:qFormat/>
    <w:rsid w:val="00567074"/>
    <w:rPr>
      <w:i/>
      <w:iCs/>
      <w:color w:val="2E74B5" w:themeColor="accent1" w:themeShade="BF"/>
    </w:rPr>
  </w:style>
  <w:style w:type="paragraph" w:styleId="a9">
    <w:name w:val="Intense Quote"/>
    <w:basedOn w:val="a"/>
    <w:next w:val="a"/>
    <w:link w:val="aa"/>
    <w:uiPriority w:val="30"/>
    <w:qFormat/>
    <w:rsid w:val="005670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67074"/>
    <w:rPr>
      <w:rFonts w:ascii="Times New Roman" w:hAnsi="Times New Roman"/>
      <w:i/>
      <w:iCs/>
      <w:color w:val="2E74B5" w:themeColor="accent1" w:themeShade="BF"/>
      <w:sz w:val="28"/>
    </w:rPr>
  </w:style>
  <w:style w:type="character" w:styleId="ab">
    <w:name w:val="Intense Reference"/>
    <w:basedOn w:val="a0"/>
    <w:uiPriority w:val="32"/>
    <w:qFormat/>
    <w:rsid w:val="0056707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Cветлана Муравьёва</dc:creator>
  <cp:keywords/>
  <dc:description/>
  <cp:lastModifiedBy>Cветлана Муравьёва</cp:lastModifiedBy>
  <cp:revision>2</cp:revision>
  <dcterms:created xsi:type="dcterms:W3CDTF">2025-12-24T06:35:00Z</dcterms:created>
  <dcterms:modified xsi:type="dcterms:W3CDTF">2025-12-24T06:41:00Z</dcterms:modified>
</cp:coreProperties>
</file>